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CB51" w14:textId="77777777" w:rsidR="00E12AD3" w:rsidRPr="00CF3A60" w:rsidRDefault="00CF3A60">
      <w:pPr>
        <w:spacing w:line="240" w:lineRule="auto"/>
        <w:rPr>
          <w:rFonts w:ascii="Times New Roman" w:eastAsia="Times New Roman" w:hAnsi="Times New Roman" w:cs="Times New Roman"/>
          <w:b/>
          <w:i/>
          <w:lang w:val="uk-UA"/>
        </w:rPr>
      </w:pPr>
      <w:r w:rsidRPr="00CF3A60">
        <w:rPr>
          <w:rFonts w:ascii="Times New Roman" w:eastAsia="Times New Roman" w:hAnsi="Times New Roman" w:cs="Times New Roman"/>
          <w:b/>
          <w:i/>
          <w:lang w:val="uk-UA"/>
        </w:rPr>
        <w:t xml:space="preserve">ТОВАРИСТВО З ОБМЕЖЕНОЮ ВІДПОВІДАЛЬНІСТЮ </w:t>
      </w:r>
    </w:p>
    <w:p w14:paraId="3DA5C8DA" w14:textId="77777777" w:rsidR="00E12AD3" w:rsidRPr="00CF3A60" w:rsidRDefault="00E12AD3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</w:pPr>
    </w:p>
    <w:p w14:paraId="1C1738BA" w14:textId="77777777" w:rsidR="00E12AD3" w:rsidRPr="00CF3A60" w:rsidRDefault="00CF3A60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</w:pPr>
      <w:r w:rsidRPr="00CF3A60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Код ЄДРПОУ 41516922</w:t>
      </w:r>
      <w:r w:rsidRPr="00CF3A60">
        <w:rPr>
          <w:noProof/>
          <w:lang w:val="uk-UA"/>
        </w:rPr>
        <w:drawing>
          <wp:anchor distT="0" distB="0" distL="114300" distR="114300" simplePos="0" relativeHeight="251658240" behindDoc="0" locked="0" layoutInCell="1" hidden="0" allowOverlap="1" wp14:anchorId="02A3243A" wp14:editId="47B16464">
            <wp:simplePos x="0" y="0"/>
            <wp:positionH relativeFrom="column">
              <wp:posOffset>-41273</wp:posOffset>
            </wp:positionH>
            <wp:positionV relativeFrom="paragraph">
              <wp:posOffset>34290</wp:posOffset>
            </wp:positionV>
            <wp:extent cx="4062730" cy="63436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2730" cy="634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E7EFC4" w14:textId="77777777" w:rsidR="00E12AD3" w:rsidRPr="00CF3A60" w:rsidRDefault="00CF3A60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</w:pPr>
      <w:r w:rsidRPr="00CF3A60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 xml:space="preserve">69008, Україна,  </w:t>
      </w:r>
      <w:proofErr w:type="spellStart"/>
      <w:r w:rsidRPr="00CF3A60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м.Запоріжжя</w:t>
      </w:r>
      <w:proofErr w:type="spellEnd"/>
      <w:r w:rsidRPr="00CF3A60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,  вул. Кольорова 5</w:t>
      </w:r>
    </w:p>
    <w:p w14:paraId="79E614E1" w14:textId="77777777" w:rsidR="00E12AD3" w:rsidRPr="00CF3A60" w:rsidRDefault="00CF3A60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</w:pPr>
      <w:r w:rsidRPr="00CF3A60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т/ф (096) 787-01-02, e-</w:t>
      </w:r>
      <w:proofErr w:type="spellStart"/>
      <w:r w:rsidRPr="00CF3A60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mail</w:t>
      </w:r>
      <w:proofErr w:type="spellEnd"/>
      <w:r w:rsidRPr="00CF3A60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 xml:space="preserve">: </w:t>
      </w:r>
      <w:hyperlink r:id="rId6">
        <w:r w:rsidRPr="00CF3A60">
          <w:rPr>
            <w:rFonts w:ascii="Times New Roman" w:eastAsia="Times New Roman" w:hAnsi="Times New Roman" w:cs="Times New Roman"/>
            <w:b/>
            <w:i/>
            <w:sz w:val="20"/>
            <w:szCs w:val="20"/>
            <w:lang w:val="uk-UA"/>
          </w:rPr>
          <w:t>ihfo.metiznik@ukr.net</w:t>
        </w:r>
      </w:hyperlink>
    </w:p>
    <w:p w14:paraId="0ABC0469" w14:textId="77777777" w:rsidR="00E12AD3" w:rsidRPr="00CF3A60" w:rsidRDefault="00CF3A60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</w:pPr>
      <w:r w:rsidRPr="00CF3A60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B652752" wp14:editId="72A26135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0375" y="3780000"/>
                          <a:ext cx="61912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01EF9B" w14:textId="77777777" w:rsidR="00E12AD3" w:rsidRPr="00CF3A60" w:rsidRDefault="00CF3A60">
      <w:pPr>
        <w:spacing w:line="240" w:lineRule="auto"/>
        <w:jc w:val="both"/>
        <w:rPr>
          <w:rFonts w:ascii="Times New Roman" w:eastAsia="Times New Roman" w:hAnsi="Times New Roman" w:cs="Times New Roman"/>
          <w:u w:val="single"/>
          <w:lang w:val="uk-UA"/>
        </w:rPr>
      </w:pPr>
      <w:proofErr w:type="spellStart"/>
      <w:r w:rsidRPr="00CF3A60">
        <w:rPr>
          <w:rFonts w:ascii="Times New Roman" w:eastAsia="Times New Roman" w:hAnsi="Times New Roman" w:cs="Times New Roman"/>
          <w:u w:val="single"/>
          <w:lang w:val="uk-UA"/>
        </w:rPr>
        <w:t>Вих</w:t>
      </w:r>
      <w:proofErr w:type="spellEnd"/>
      <w:r w:rsidRPr="00CF3A60">
        <w:rPr>
          <w:rFonts w:ascii="Times New Roman" w:eastAsia="Times New Roman" w:hAnsi="Times New Roman" w:cs="Times New Roman"/>
          <w:u w:val="single"/>
          <w:lang w:val="uk-UA"/>
        </w:rPr>
        <w:t>. №2009/01 від «20» вересня 2025 року</w:t>
      </w:r>
    </w:p>
    <w:p w14:paraId="675207BD" w14:textId="77777777" w:rsidR="00E12AD3" w:rsidRPr="00CF3A60" w:rsidRDefault="00CF3A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Style w:val="a5"/>
        <w:tblW w:w="96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5085"/>
      </w:tblGrid>
      <w:tr w:rsidR="00E12AD3" w:rsidRPr="00CF3A60" w14:paraId="3940443D" w14:textId="77777777">
        <w:trPr>
          <w:trHeight w:val="1050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FD638" w14:textId="77777777" w:rsidR="00E12AD3" w:rsidRPr="00CF3A60" w:rsidRDefault="00CF3A6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ОРГАН ОСКАРЖЕННЯ: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A0627" w14:textId="77777777" w:rsidR="00E12AD3" w:rsidRPr="00CF3A60" w:rsidRDefault="00CF3A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Комісія Антимонопольного комітету України з розгляду скарг про порушення законодавства у сфері публічних закупівель</w:t>
            </w:r>
          </w:p>
          <w:p w14:paraId="3E5AB78C" w14:textId="77777777" w:rsidR="00E12AD3" w:rsidRPr="00CF3A60" w:rsidRDefault="00CF3A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3A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 Митрополита В. Липківського, 45, м. Київ-35, 03035</w:t>
            </w:r>
          </w:p>
        </w:tc>
      </w:tr>
      <w:tr w:rsidR="00E12AD3" w:rsidRPr="00CF3A60" w14:paraId="0D10AF96" w14:textId="77777777">
        <w:trPr>
          <w:trHeight w:val="270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6A27C" w14:textId="77777777" w:rsidR="00E12AD3" w:rsidRPr="00CF3A60" w:rsidRDefault="00CF3A6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 ЗАКУПІВЛ</w:t>
            </w:r>
            <w:r w:rsidRPr="00CF3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І: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47671" w14:textId="77777777" w:rsidR="00E12AD3" w:rsidRPr="00CF3A60" w:rsidRDefault="00CF3A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3A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UA-2025-09-17-011484-a</w:t>
            </w:r>
          </w:p>
        </w:tc>
      </w:tr>
    </w:tbl>
    <w:p w14:paraId="542CBB7F" w14:textId="77777777" w:rsidR="00E12AD3" w:rsidRPr="00CF3A60" w:rsidRDefault="00CF3A60">
      <w:pPr>
        <w:shd w:val="clear" w:color="auto" w:fill="FFFFFF"/>
        <w:spacing w:line="240" w:lineRule="auto"/>
        <w:ind w:firstLine="2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5321E535" w14:textId="77777777" w:rsidR="00E12AD3" w:rsidRPr="00CF3A60" w:rsidRDefault="00CF3A60">
      <w:pPr>
        <w:spacing w:line="240" w:lineRule="auto"/>
        <w:ind w:left="4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662F593" w14:textId="77777777" w:rsidR="00E12AD3" w:rsidRPr="00CF3A60" w:rsidRDefault="00CF3A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“Щодо пояснень за скаргою, наданих Замовником” </w:t>
      </w:r>
    </w:p>
    <w:p w14:paraId="2D73E1A5" w14:textId="77777777" w:rsidR="00E12AD3" w:rsidRPr="00CF3A60" w:rsidRDefault="00E12AD3">
      <w:pPr>
        <w:spacing w:line="240" w:lineRule="auto"/>
        <w:ind w:firstLine="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1A4373B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 вересня 2025 року замовником ПУБЛІЧНЕ АКЦІОНЕРНЕ ТОВАРИСТВО "УКPНAФТА" (ідентифікаційний код </w:t>
      </w:r>
      <w:r w:rsidRPr="00CF3A60">
        <w:rPr>
          <w:rFonts w:ascii="Times New Roman" w:eastAsia="Times New Roman" w:hAnsi="Times New Roman" w:cs="Times New Roman"/>
          <w:sz w:val="25"/>
          <w:szCs w:val="25"/>
          <w:lang w:val="uk-UA"/>
        </w:rPr>
        <w:t>00135390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) (далі – Замовник) було надано пояснення UA-2025-09-17-011484-a.a1. Зокрема, Замовник повідомив, що “</w:t>
      </w:r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досвід та практика роботи Замовника показує, що в </w:t>
      </w:r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промислових масштабах доцільно використовувати </w:t>
      </w:r>
      <w:r w:rsidRPr="00CF3A6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тільки металеві</w:t>
      </w:r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котушки без додаткових адаптерів. Замовник, враховуючи виробничі потреби, використовує в роботі </w:t>
      </w:r>
      <w:proofErr w:type="spellStart"/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дороговартісне</w:t>
      </w:r>
      <w:proofErr w:type="spellEnd"/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зварювальне обладнання світових лідерів, для якого передбачені відповідні котушки </w:t>
      </w:r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зі стандартними розмірами (в тому числі внутрішній кріпильний отвір). </w:t>
      </w:r>
    </w:p>
    <w:p w14:paraId="23E7A66E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Використання інших типів котушок потребує додаткових адаптерів, що в свою чергу підвищує ризик неефективної роботи, поломок, зупинки виробничого процесу тощо. </w:t>
      </w:r>
    </w:p>
    <w:p w14:paraId="08E89531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При використанні </w:t>
      </w:r>
      <w:r w:rsidRPr="00CF3A6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пластико</w:t>
      </w:r>
      <w:r w:rsidRPr="00CF3A6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вої котушки</w:t>
      </w:r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, у разі її незначної деформації внаслідок температурного впливу, </w:t>
      </w:r>
      <w:proofErr w:type="spellStart"/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тріщин</w:t>
      </w:r>
      <w:proofErr w:type="spellEnd"/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, сколів, виникають </w:t>
      </w:r>
      <w:proofErr w:type="spellStart"/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зажовування</w:t>
      </w:r>
      <w:proofErr w:type="spellEnd"/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, перехвати, сплутування зварювального дроту, що впливає на стабільність подачі. В свою чергу нестабільність подачі відображається на якості з</w:t>
      </w:r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варювального шва та роботі апарата (виходить з ладу </w:t>
      </w:r>
      <w:proofErr w:type="spellStart"/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подаючий</w:t>
      </w:r>
      <w:proofErr w:type="spellEnd"/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механізм, внутрішній канал рукава, що призводить до додаткових витрат на ремонт, простій виробництва тощо). Враховуючи значну вагу котушки (більше 15 кг), </w:t>
      </w:r>
      <w:r w:rsidRPr="00CF3A6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випадки необережного транспортування при</w:t>
      </w:r>
      <w:r w:rsidRPr="00CF3A6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зводять до розколювання пластикових котушок,</w:t>
      </w:r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внаслідок чого відбувається злітання, заплутування, тобто перевитрата зварювального дроту. Таким чином, використання котушок, які пропонуються Скаржником, через вищезазначені причини може призвести до додаткових</w:t>
      </w:r>
      <w:r w:rsidRPr="00CF3A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фінансових витрат Замовника, які не передбачені його бюджетом та є неприйнятними для нього”.</w:t>
      </w:r>
    </w:p>
    <w:p w14:paraId="5DB03A5D" w14:textId="77777777" w:rsidR="00E12AD3" w:rsidRPr="00CF3A60" w:rsidRDefault="00E12AD3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14:paraId="4CBBD927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Вважаємо за необхідне повідомити, що ця інформація не відповідає дійсності та не підтверджена Замовником жодними доказами, спростовується самою тендерною докумен</w:t>
      </w:r>
      <w:r w:rsidRPr="00CF3A6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тацією та наданими самим Замовником листами-відгуками про виконання попередніх договорів про закупівлю. </w:t>
      </w:r>
    </w:p>
    <w:p w14:paraId="5D867F10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По-перше, звертаємо увагу, що в цій самій Процедурі закупівлі (п. 5 розділу І Додатку 1 до Тендерної документації) Замовник згоден придбати зварювальни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 дріт на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пластикових котушках S200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які відрізняються від Д270 українського виробництва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тільки розміром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0BC5771C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Тобто при використанні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так само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пластикової 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котушки S200, передбаченої в п. 5 розділу І Додатку 1 до Тендерної документації, Замовник не вбачає, що “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її незначної деформації внаслідок температурного впливу, </w:t>
      </w:r>
      <w:proofErr w:type="spellStart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тріщин</w:t>
      </w:r>
      <w:proofErr w:type="spellEnd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сколів, виникають </w:t>
      </w:r>
      <w:proofErr w:type="spellStart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зажовування</w:t>
      </w:r>
      <w:proofErr w:type="spellEnd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перехвати, сплутування зварювального дроту, що впливає на стабільність подачі”. А от чомусь при 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використанні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так само пластикової котушки Д270, пропонова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ної Суб'єктом оскарження,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Замовник вбачає, що такі дефекти будуть.</w:t>
      </w:r>
    </w:p>
    <w:p w14:paraId="31772F09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Також Замовник зазначає,  що пластикові котушки Д270 мають ризик розколювання при транспортуванні, але передбачаючи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так само пластикові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котушки S200 у п. 5 розділу І Додатку 1 до Тендерної документації, Замовник не зважає на такі ризики.</w:t>
      </w:r>
    </w:p>
    <w:p w14:paraId="44543925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Отже, пояснення Замовника є непослідовними, нелогічними і суперечать його ж підходам до формування вимог Тендерної документації. Всі доводи щодо неналежної якості пластикових котушок та ризиків їх використання спростовуються самим Замовником у тендерній до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кументації, де для постачання дроту у вазі 5 кг Замовник вимагає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саме пластикові 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котушки (чомусь не зважаючи на їхню низьку якість, про яку стверджує в поясненнях).   </w:t>
      </w:r>
    </w:p>
    <w:p w14:paraId="6E212837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Принагідно повідомляємо, що пластикові котушки Д270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більш міцні, ніж пластикові котушки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S200, 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які допускаються умовами Процедури закупівлі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оскільки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товщина стінок в них більше. Товщина стінки у котушки Д270 – 7 мм, у котушки S 200 – 4 мм.</w:t>
      </w:r>
    </w:p>
    <w:p w14:paraId="0910B5C7" w14:textId="77777777" w:rsidR="00E12AD3" w:rsidRPr="00CF3A60" w:rsidRDefault="00E12AD3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11A4711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По-друге, раніше були проведені процедури закупівлі UA-2024-12-19-011721-a та UA-2025-03-18-005546-a (Л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от1), за результатами яких Суб'єкт оскарження був визнаний переможцем, з яким були укладені договори, які повністю виконані та по яких отримані позитивні відгуки від Замовника з наступним текстом: «ТОВ «ЗАВОД «МЕТИЗНИК» виконало умови договору в повному об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сязі та у встановлені терміни. Якість поставлених товарів повністю відповідає заявленим характеристикам» (листи-відгуки додаються).</w:t>
      </w:r>
    </w:p>
    <w:p w14:paraId="482544B9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Замовник власноруч підписав та надав Суб'єкту оскарження відгуки, згідно з якими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жодних претензій у Замовника не було (незва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жаючи на те, що Суб'єкт оскарження постачав товар на котушках власного виробництва, зазначених ним у Скарзі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!). Ці листи відгуки спростовують тезу замовника про нібито “ризики неефективної роботи”, “деформації”, “</w:t>
      </w:r>
      <w:proofErr w:type="spellStart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зажовування</w:t>
      </w:r>
      <w:proofErr w:type="spellEnd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” і таке інше. Отже, встановлення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вимог, що звужують конкуренцію, зумовлено </w:t>
      </w:r>
      <w:r w:rsidRPr="00CF3A6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не об'єктивними потребами Замовника, а суб'єктивною зміною підходів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формування умов тендерної документації. </w:t>
      </w:r>
    </w:p>
    <w:p w14:paraId="58CA361C" w14:textId="77777777" w:rsidR="00E12AD3" w:rsidRPr="00CF3A60" w:rsidRDefault="00E12AD3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8AC642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По-третє, тип котушки B300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передбачений у тому самому стандарті ДСТУ EN ІSO 544:2019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“Матеріали звар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ювальні. Технічні умови постачання присадних матеріалів і флюсів. Тип продукції, розміри, допуски та маркування (EN ІSO 544:2017, IDT; ІSO 544:2017, IDT)”, у якому передбачені й котушки S200 та й BS300, які прописані у вимогах Замовника. Нормативно-технічн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ий документ ДСТУ EN ІSO 544:2019 – це стандарт, що містить норми пакування дроту і має світове значення. Якби котушки B300 «підвищували ризик неефективної роботи, поломок, зупинки виробничого процесу», вони не були би передбачено в цьому стандарті. </w:t>
      </w:r>
    </w:p>
    <w:p w14:paraId="46E4B601" w14:textId="77777777" w:rsidR="00E12AD3" w:rsidRPr="00CF3A60" w:rsidRDefault="00E12AD3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F273102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По-че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тверте, щодо ризику “розколювання пластикових котушок при транспортуванні” слід зауважити, що згідно з умовами Процедури закупівлі, транспортування товару повинен здійснювати постачальник за свій рахунок, тому усі ризики стосовно псування товару при трансп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ортуванні несе постачальник. Раніше були проведені закупівлі UA-2024-12-19-011721-a та UA-2025-03-18-005546-a (Лот1), по яким Суб'єкт оскарження був визнаний переможцем, було укладено договори, за якими ТОВ «ЗАВОД МЕТИЗНИК» постачав зварювальний дріт на пл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астикових котушках.  При цьому ніяких зауважень щодо “розколювання пластикових котушок при транспортуванні” зі сторони Замовника не було, а навпаки — були отримані позитивні відгуки від Замовника (додаються). </w:t>
      </w:r>
    </w:p>
    <w:p w14:paraId="2D90021A" w14:textId="77777777" w:rsidR="00E12AD3" w:rsidRPr="00CF3A60" w:rsidRDefault="00E12AD3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8AD7A43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По-п’яте, каркасна котушка В300 з адаптером (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пропонована Суб'єктом оскарження) має ті самі габаритні розміри, що й каркасна котушка BS300 без адаптеру. Суб'єкт оскарження готовий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безкоштовно надати необхідну кількість адаптерів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Замовнику у разі перемоги у закупівлі. Умови про те, що адаптери мають бу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 включені у комплект поставки і у вартість пропозиції, цілком можливо передбачити в умовах тендерної документації, що повністю 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виключить ризик додаткових витрат Замовника. При цьому простота та зручність становлення каркасної котушки В300 наглядно продем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онстроване у </w:t>
      </w:r>
      <w:proofErr w:type="spellStart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відеодоказі</w:t>
      </w:r>
      <w:proofErr w:type="spellEnd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, що додається до цього листа.</w:t>
      </w:r>
    </w:p>
    <w:p w14:paraId="02381584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адаємо до уваги Органу оскарження </w:t>
      </w:r>
      <w:proofErr w:type="spellStart"/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відеодоказ</w:t>
      </w:r>
      <w:proofErr w:type="spellEnd"/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підготовлений Суб'єктом оскарження (відеофайл тривалістю 00:03:42), на якому наочно показано, як відбувається встановлення та використання типів котушок н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стандартом </w:t>
      </w:r>
      <w:proofErr w:type="spellStart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напівзварювальному</w:t>
      </w:r>
      <w:proofErr w:type="spellEnd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апараті</w:t>
      </w:r>
      <w:proofErr w:type="spellEnd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VR-57:</w:t>
      </w:r>
    </w:p>
    <w:p w14:paraId="3C9E0CC5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котушок, що передбачені тендерною документацією (одиничний зразок, придбаний у конкурентів для демонстрації) — дротяна каркасна котушка BS300 </w:t>
      </w:r>
    </w:p>
    <w:p w14:paraId="165CB4AB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2)  що зазначені у скарзі (котушки, що виробляються Суб'єктом о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скарження та пропонуються ним у якості тари для постачання товару) — пластикова котушка Д270, дротяна каркасна котушка В300 (з адаптером), пластикова котушка S200. </w:t>
      </w:r>
    </w:p>
    <w:p w14:paraId="7D8BB918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На відео, що додається до цього листа, чітко видно, що жодних проблем та недоліків у  викор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истанні (00:01:50 — 00:03:42) типів котушок, що пропонуються Суб'єктом оскарження, немає, і свою функцію котушки виконують у повному обсязі. </w:t>
      </w:r>
    </w:p>
    <w:p w14:paraId="7448B7AA" w14:textId="77777777" w:rsidR="00E12AD3" w:rsidRPr="00CF3A60" w:rsidRDefault="00E12AD3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4BAEEF8" w14:textId="77777777" w:rsidR="00E12AD3" w:rsidRPr="00CF3A60" w:rsidRDefault="00CF3A60">
      <w:pPr>
        <w:spacing w:line="240" w:lineRule="auto"/>
        <w:ind w:right="7"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Звертаємо увагу, що так зване “правило двох виробників” незастосовне до розгляду питань, що є предметом скарги, о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скільки оскаржувані вимоги є додатковими деталізованими вимогами до пакування товару, а не до самого товару. </w:t>
      </w:r>
    </w:p>
    <w:p w14:paraId="326E5D76" w14:textId="77777777" w:rsidR="00E12AD3" w:rsidRPr="00CF3A60" w:rsidRDefault="00CF3A6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 викладеного, керуючись статтями 5, 22, 18 Закону України «Про публічні закупівлі», пунктами 55-67 Особливостей,</w:t>
      </w:r>
    </w:p>
    <w:p w14:paraId="4F0448A4" w14:textId="77777777" w:rsidR="00E12AD3" w:rsidRPr="00CF3A60" w:rsidRDefault="00CF3A6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72638E12" w14:textId="77777777" w:rsidR="00E12AD3" w:rsidRPr="00CF3A60" w:rsidRDefault="00CF3A60">
      <w:pP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ПРОШУ:</w:t>
      </w:r>
    </w:p>
    <w:p w14:paraId="704E4837" w14:textId="77777777" w:rsidR="00E12AD3" w:rsidRPr="00CF3A60" w:rsidRDefault="00CF3A60">
      <w:pPr>
        <w:spacing w:line="240" w:lineRule="auto"/>
        <w:ind w:firstLine="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635539B" w14:textId="77777777" w:rsidR="00E12AD3" w:rsidRPr="00CF3A60" w:rsidRDefault="00CF3A6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CF3A60"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 </w:t>
      </w:r>
      <w:r w:rsidRPr="00CF3A60">
        <w:rPr>
          <w:rFonts w:ascii="Times New Roman" w:eastAsia="Times New Roman" w:hAnsi="Times New Roman" w:cs="Times New Roman"/>
          <w:sz w:val="14"/>
          <w:szCs w:val="14"/>
          <w:lang w:val="uk-UA"/>
        </w:rPr>
        <w:tab/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Прийня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ти до уваги </w:t>
      </w:r>
      <w:proofErr w:type="spellStart"/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відеодоказ</w:t>
      </w:r>
      <w:proofErr w:type="spellEnd"/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що додається, а також листи-відгуки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, надані самим Замовником про досвід отримання поставок від Суб'єкта оскарження у тарі, що пропонується Суб'єктом оскарження.</w:t>
      </w:r>
    </w:p>
    <w:p w14:paraId="46D50AE5" w14:textId="77777777" w:rsidR="00E12AD3" w:rsidRPr="00CF3A60" w:rsidRDefault="00CF3A6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CF3A60"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 </w:t>
      </w:r>
      <w:r w:rsidRPr="00CF3A60">
        <w:rPr>
          <w:rFonts w:ascii="Times New Roman" w:eastAsia="Times New Roman" w:hAnsi="Times New Roman" w:cs="Times New Roman"/>
          <w:sz w:val="14"/>
          <w:szCs w:val="14"/>
          <w:lang w:val="uk-UA"/>
        </w:rPr>
        <w:tab/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Встановити наявність порушення замовником ПУБЛІЧНЕ АКЦІОНЕРНЕ ТОВАРИСТВО "УКPНAФТА"  порядку проведення процедури закупівлі товарів за ідентифікатором UA-2025-09-17-011484-a за ЛОТОМ №1 у частині встановлення дискримінаційних та непрозорих умов тендерної д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окументації та </w:t>
      </w:r>
      <w:proofErr w:type="spellStart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договору. </w:t>
      </w:r>
    </w:p>
    <w:p w14:paraId="760FC5C2" w14:textId="77777777" w:rsidR="00E12AD3" w:rsidRPr="00CF3A60" w:rsidRDefault="00CF3A6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3.</w:t>
      </w:r>
      <w:r w:rsidRPr="00CF3A60"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 </w:t>
      </w:r>
      <w:r w:rsidRPr="00CF3A60">
        <w:rPr>
          <w:rFonts w:ascii="Times New Roman" w:eastAsia="Times New Roman" w:hAnsi="Times New Roman" w:cs="Times New Roman"/>
          <w:sz w:val="14"/>
          <w:szCs w:val="14"/>
          <w:lang w:val="uk-UA"/>
        </w:rPr>
        <w:tab/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Зобов’язати Замовника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ПУБЛІЧНЕ АКЦІОНЕРНЕ ТОВАРИСТВО "УКPНAФТА" внести зміни до тендерної документації Процедури закупівлі, оголошеної за ідентифікатором  № UA-2025-09-17-011484-a за ЛОТОМ №1, з метою усунення дискримінаційних та непрозорих умов, зазначених у тексті скарги, та </w:t>
      </w: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привести тендерну документацію та </w:t>
      </w:r>
      <w:proofErr w:type="spellStart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 у відповідність із вимогами законодавства в цій частині.</w:t>
      </w:r>
    </w:p>
    <w:p w14:paraId="5622AA1F" w14:textId="77777777" w:rsidR="00E12AD3" w:rsidRPr="00CF3A60" w:rsidRDefault="00E12AD3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0AE550D7" w14:textId="77777777" w:rsidR="00E12AD3" w:rsidRPr="00CF3A60" w:rsidRDefault="00CF3A6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Додатки:</w:t>
      </w:r>
    </w:p>
    <w:p w14:paraId="1A5AF8F6" w14:textId="77777777" w:rsidR="00E12AD3" w:rsidRPr="00CF3A60" w:rsidRDefault="00CF3A6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proofErr w:type="spellStart"/>
      <w:r w:rsidRPr="00CF3A60">
        <w:rPr>
          <w:rFonts w:ascii="Times New Roman" w:eastAsia="Times New Roman" w:hAnsi="Times New Roman" w:cs="Times New Roman"/>
          <w:lang w:val="uk-UA"/>
        </w:rPr>
        <w:t>Відеодоказ</w:t>
      </w:r>
      <w:proofErr w:type="spellEnd"/>
      <w:r w:rsidRPr="00CF3A60">
        <w:rPr>
          <w:rFonts w:ascii="Times New Roman" w:eastAsia="Times New Roman" w:hAnsi="Times New Roman" w:cs="Times New Roman"/>
          <w:lang w:val="uk-UA"/>
        </w:rPr>
        <w:t xml:space="preserve"> “1. Котушки 300 270 200”. </w:t>
      </w:r>
    </w:p>
    <w:p w14:paraId="2F0DB954" w14:textId="77777777" w:rsidR="00E12AD3" w:rsidRPr="00CF3A60" w:rsidRDefault="00CF3A6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F3A60">
        <w:rPr>
          <w:rFonts w:ascii="Times New Roman" w:eastAsia="Times New Roman" w:hAnsi="Times New Roman" w:cs="Times New Roman"/>
          <w:lang w:val="uk-UA"/>
        </w:rPr>
        <w:t xml:space="preserve">Листи-відгуки від Замовника про співпрацю з Суб'єктом оскарження за </w:t>
      </w:r>
      <w:proofErr w:type="spellStart"/>
      <w:r w:rsidRPr="00CF3A60">
        <w:rPr>
          <w:rFonts w:ascii="Times New Roman" w:eastAsia="Times New Roman" w:hAnsi="Times New Roman" w:cs="Times New Roman"/>
          <w:lang w:val="uk-UA"/>
        </w:rPr>
        <w:t>догвоорами</w:t>
      </w:r>
      <w:proofErr w:type="spellEnd"/>
      <w:r w:rsidRPr="00CF3A60">
        <w:rPr>
          <w:rFonts w:ascii="Times New Roman" w:eastAsia="Times New Roman" w:hAnsi="Times New Roman" w:cs="Times New Roman"/>
          <w:lang w:val="uk-UA"/>
        </w:rPr>
        <w:t xml:space="preserve"> про закупівлю, укладен</w:t>
      </w:r>
      <w:r w:rsidRPr="00CF3A60">
        <w:rPr>
          <w:rFonts w:ascii="Times New Roman" w:eastAsia="Times New Roman" w:hAnsi="Times New Roman" w:cs="Times New Roman"/>
          <w:lang w:val="uk-UA"/>
        </w:rPr>
        <w:t xml:space="preserve">ими в результаті процедур закупівель UA-2024-12-19-011721-a та UA-2025-03-18-005546-a (Лот1). </w:t>
      </w:r>
    </w:p>
    <w:p w14:paraId="3C8B9BB0" w14:textId="77777777" w:rsidR="00E12AD3" w:rsidRPr="00CF3A60" w:rsidRDefault="00E12A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2E0966A" w14:textId="77777777" w:rsidR="00E12AD3" w:rsidRPr="00CF3A60" w:rsidRDefault="00CF3A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A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0CF7346E" w14:textId="77777777" w:rsidR="00E12AD3" w:rsidRPr="00CF3A60" w:rsidRDefault="00CF3A60">
      <w:pPr>
        <w:spacing w:line="240" w:lineRule="auto"/>
        <w:jc w:val="both"/>
        <w:rPr>
          <w:lang w:val="uk-UA"/>
        </w:rPr>
      </w:pP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Директор ТОВ «ЗАВОД «МЕТИЗНИК»      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</w:t>
      </w:r>
      <w:r w:rsidRPr="00CF3A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О. В. Корольов</w:t>
      </w:r>
    </w:p>
    <w:sectPr w:rsidR="00E12AD3" w:rsidRPr="00CF3A60">
      <w:pgSz w:w="12240" w:h="15840"/>
      <w:pgMar w:top="810" w:right="900" w:bottom="9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67D30"/>
    <w:multiLevelType w:val="multilevel"/>
    <w:tmpl w:val="E6A87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2774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D3"/>
    <w:rsid w:val="00CF3A60"/>
    <w:rsid w:val="00E1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9B1D"/>
  <w15:docId w15:val="{688B8D99-FA48-42A1-924C-8FBF2180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hfo.metiznik@ukr.ne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1414</Words>
  <Characters>8065</Characters>
  <DocSecurity>0</DocSecurity>
  <Lines>67</Lines>
  <Paragraphs>18</Paragraphs>
  <ScaleCrop>false</ScaleCrop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2025-09-29T17:21:00Z</dcterms:created>
  <dcterms:modified xsi:type="dcterms:W3CDTF">2025-09-29T17:21:00Z</dcterms:modified>
</cp:coreProperties>
</file>